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7B92C566" w:rsidR="00221AE0" w:rsidRDefault="00A94B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The </w:t>
      </w:r>
      <w:r w:rsidR="006F3749">
        <w:rPr>
          <w:rFonts w:ascii="Century Gothic" w:eastAsia="Century Gothic" w:hAnsi="Century Gothic" w:cs="Century Gothic"/>
          <w:sz w:val="28"/>
          <w:szCs w:val="28"/>
        </w:rPr>
        <w:t>2</w:t>
      </w:r>
      <w:r w:rsidR="006F3749" w:rsidRPr="006F3749">
        <w:rPr>
          <w:rFonts w:ascii="Century Gothic" w:eastAsia="Century Gothic" w:hAnsi="Century Gothic" w:cs="Century Gothic"/>
          <w:sz w:val="28"/>
          <w:szCs w:val="28"/>
          <w:vertAlign w:val="superscript"/>
        </w:rPr>
        <w:t>nd</w:t>
      </w:r>
      <w:r w:rsidR="006F3749">
        <w:rPr>
          <w:rFonts w:ascii="Century Gothic" w:eastAsia="Century Gothic" w:hAnsi="Century Gothic" w:cs="Century Gothic"/>
          <w:sz w:val="28"/>
          <w:szCs w:val="28"/>
        </w:rPr>
        <w:t xml:space="preserve"> Impeachment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3E8E532D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political process of </w:t>
      </w:r>
      <w:r w:rsidR="006F3749">
        <w:rPr>
          <w:rFonts w:ascii="Century Gothic" w:eastAsia="Century Gothic" w:hAnsi="Century Gothic" w:cs="Century Gothic"/>
          <w:sz w:val="21"/>
          <w:szCs w:val="21"/>
        </w:rPr>
        <w:t>impeachment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 w:rsidR="006F3749">
        <w:rPr>
          <w:rFonts w:ascii="Century Gothic" w:eastAsia="Century Gothic" w:hAnsi="Century Gothic" w:cs="Century Gothic"/>
          <w:sz w:val="21"/>
          <w:szCs w:val="21"/>
        </w:rPr>
        <w:t>What issues are in question in the second impeachment trial of former president Donald Trump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</w:p>
    <w:p w14:paraId="00000017" w14:textId="12269178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</w:t>
      </w:r>
      <w:r w:rsidR="006F3749">
        <w:rPr>
          <w:rFonts w:ascii="Century Gothic" w:eastAsia="Century Gothic" w:hAnsi="Century Gothic" w:cs="Century Gothic"/>
          <w:sz w:val="21"/>
          <w:szCs w:val="21"/>
        </w:rPr>
        <w:t>differences between the first and second attempts of Congress to impeach the former president.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To what can we attribute these changes? </w:t>
      </w:r>
      <w:r w:rsidR="006F3749">
        <w:rPr>
          <w:rFonts w:ascii="Century Gothic" w:eastAsia="Century Gothic" w:hAnsi="Century Gothic" w:cs="Century Gothic"/>
          <w:sz w:val="21"/>
          <w:szCs w:val="21"/>
        </w:rPr>
        <w:t>How were the outcomes similar or different?</w:t>
      </w:r>
    </w:p>
    <w:p w14:paraId="00000018" w14:textId="79C0C77D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Consider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circumstances under which this new Congress will be </w:t>
      </w:r>
      <w:r w:rsidR="006F3749">
        <w:rPr>
          <w:rFonts w:ascii="Century Gothic" w:eastAsia="Century Gothic" w:hAnsi="Century Gothic" w:cs="Century Gothic"/>
          <w:sz w:val="21"/>
          <w:szCs w:val="21"/>
        </w:rPr>
        <w:t xml:space="preserve">holding the second trials of impeachment of Donald Trump. What precedent does the outcome of the second impeachment trial set for future presidents? </w:t>
      </w:r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6F3749"/>
    <w:rsid w:val="00A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7891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2021-02-12T22:36:00Z</dcterms:created>
  <dcterms:modified xsi:type="dcterms:W3CDTF">2021-02-12T22:36:00Z</dcterms:modified>
</cp:coreProperties>
</file>