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80D45" w14:textId="77777777" w:rsidR="004303A3" w:rsidRPr="004303A3" w:rsidRDefault="004303A3">
      <w:pPr>
        <w:rPr>
          <w:rFonts w:ascii="Century Gothic" w:hAnsi="Century Gothic"/>
          <w:b/>
          <w:bCs/>
          <w:i/>
          <w:iCs/>
          <w:sz w:val="22"/>
          <w:szCs w:val="22"/>
        </w:rPr>
      </w:pPr>
      <w:r w:rsidRPr="004303A3">
        <w:rPr>
          <w:rFonts w:ascii="Century Gothic" w:hAnsi="Century Gothic"/>
          <w:b/>
          <w:bCs/>
          <w:i/>
          <w:iCs/>
          <w:sz w:val="22"/>
          <w:szCs w:val="22"/>
        </w:rPr>
        <w:t xml:space="preserve">We the People: </w:t>
      </w:r>
      <w:proofErr w:type="gramStart"/>
      <w:r w:rsidRPr="004303A3">
        <w:rPr>
          <w:rFonts w:ascii="Century Gothic" w:hAnsi="Century Gothic"/>
          <w:b/>
          <w:bCs/>
          <w:i/>
          <w:iCs/>
          <w:sz w:val="22"/>
          <w:szCs w:val="22"/>
        </w:rPr>
        <w:t>the</w:t>
      </w:r>
      <w:proofErr w:type="gramEnd"/>
      <w:r w:rsidRPr="004303A3">
        <w:rPr>
          <w:rFonts w:ascii="Century Gothic" w:hAnsi="Century Gothic"/>
          <w:b/>
          <w:bCs/>
          <w:i/>
          <w:iCs/>
          <w:sz w:val="22"/>
          <w:szCs w:val="22"/>
        </w:rPr>
        <w:t xml:space="preserve"> Citizen &amp; the Constitution</w:t>
      </w:r>
    </w:p>
    <w:p w14:paraId="3688B5A1" w14:textId="3D06C31D" w:rsidR="00B95AF2" w:rsidRPr="004303A3" w:rsidRDefault="004303A3">
      <w:pPr>
        <w:rPr>
          <w:rFonts w:ascii="Century Gothic" w:hAnsi="Century Gothic"/>
          <w:sz w:val="22"/>
          <w:szCs w:val="22"/>
        </w:rPr>
      </w:pPr>
      <w:r w:rsidRPr="004303A3">
        <w:rPr>
          <w:rFonts w:ascii="Century Gothic" w:hAnsi="Century Gothic"/>
          <w:sz w:val="22"/>
          <w:szCs w:val="22"/>
        </w:rPr>
        <w:t>2019-2020 High School Hearing Questions</w:t>
      </w:r>
    </w:p>
    <w:p w14:paraId="128561A9" w14:textId="2264BA04" w:rsidR="004303A3" w:rsidRDefault="004303A3">
      <w:pPr>
        <w:rPr>
          <w:rFonts w:ascii="Century Gothic" w:hAnsi="Century Gothic"/>
          <w:sz w:val="18"/>
          <w:szCs w:val="18"/>
        </w:rPr>
      </w:pPr>
      <w:r w:rsidRPr="004303A3">
        <w:rPr>
          <w:rFonts w:ascii="Century Gothic" w:hAnsi="Century Gothic"/>
          <w:sz w:val="18"/>
          <w:szCs w:val="18"/>
        </w:rPr>
        <w:t>Information, Tips, Analysis, &amp; Resources from the Oregon high school We the People community</w:t>
      </w:r>
    </w:p>
    <w:p w14:paraId="5A3D2B11" w14:textId="77AA11AD" w:rsidR="004303A3" w:rsidRDefault="004303A3">
      <w:pPr>
        <w:rPr>
          <w:rFonts w:ascii="Century Gothic" w:hAnsi="Century Gothic"/>
          <w:sz w:val="18"/>
          <w:szCs w:val="18"/>
        </w:rPr>
      </w:pPr>
    </w:p>
    <w:p w14:paraId="52750645" w14:textId="6E7E589C" w:rsidR="004303A3" w:rsidRPr="00BE3FB3" w:rsidRDefault="004303A3">
      <w:pPr>
        <w:rPr>
          <w:rFonts w:ascii="Garamond" w:hAnsi="Garamond"/>
          <w:sz w:val="22"/>
          <w:szCs w:val="22"/>
        </w:rPr>
      </w:pPr>
    </w:p>
    <w:p w14:paraId="4080BFAD" w14:textId="60E1BB56" w:rsidR="00BE3FB3" w:rsidRPr="00C56359" w:rsidRDefault="00BE3FB3" w:rsidP="00BE3FB3">
      <w:pPr>
        <w:pStyle w:val="UnitHeader"/>
        <w:ind w:left="1350" w:hanging="1350"/>
        <w:rPr>
          <w:rFonts w:ascii="Century Gothic" w:hAnsi="Century Gothic"/>
          <w:color w:val="000000" w:themeColor="text1"/>
          <w:sz w:val="22"/>
          <w:szCs w:val="22"/>
          <w:u w:val="single"/>
        </w:rPr>
      </w:pPr>
      <w:r w:rsidRPr="00C56359">
        <w:rPr>
          <w:rFonts w:ascii="Century Gothic" w:hAnsi="Century Gothic"/>
          <w:color w:val="000000" w:themeColor="text1"/>
          <w:sz w:val="22"/>
          <w:szCs w:val="22"/>
          <w:u w:val="single"/>
        </w:rPr>
        <w:t xml:space="preserve">Unit </w:t>
      </w:r>
      <w:r w:rsidR="000C008B">
        <w:rPr>
          <w:rFonts w:ascii="Century Gothic" w:hAnsi="Century Gothic"/>
          <w:color w:val="000000" w:themeColor="text1"/>
          <w:sz w:val="22"/>
          <w:szCs w:val="22"/>
          <w:u w:val="single"/>
        </w:rPr>
        <w:t>5</w:t>
      </w:r>
      <w:r w:rsidRPr="00C56359">
        <w:rPr>
          <w:rFonts w:ascii="Century Gothic" w:hAnsi="Century Gothic"/>
          <w:color w:val="000000" w:themeColor="text1"/>
          <w:sz w:val="22"/>
          <w:szCs w:val="22"/>
          <w:u w:val="single"/>
        </w:rPr>
        <w:t xml:space="preserve"> / Q. </w:t>
      </w:r>
      <w:r w:rsidR="000C008B">
        <w:rPr>
          <w:rFonts w:ascii="Century Gothic" w:hAnsi="Century Gothic"/>
          <w:color w:val="000000" w:themeColor="text1"/>
          <w:sz w:val="22"/>
          <w:szCs w:val="22"/>
          <w:u w:val="single"/>
        </w:rPr>
        <w:t>1</w:t>
      </w:r>
    </w:p>
    <w:p w14:paraId="26461947" w14:textId="32125211" w:rsidR="00BE3FB3" w:rsidRPr="00FA0D81" w:rsidRDefault="00BE3FB3" w:rsidP="00BE3FB3">
      <w:pPr>
        <w:pStyle w:val="UnitHeader"/>
        <w:rPr>
          <w:rFonts w:ascii="Garamond" w:hAnsi="Garamond"/>
          <w:color w:val="000000" w:themeColor="text1"/>
          <w:sz w:val="22"/>
          <w:szCs w:val="22"/>
        </w:rPr>
      </w:pPr>
    </w:p>
    <w:p w14:paraId="431394AE" w14:textId="77777777" w:rsidR="000C008B" w:rsidRPr="000C008B" w:rsidRDefault="000C008B" w:rsidP="000C008B">
      <w:pPr>
        <w:pStyle w:val="NormalWeb"/>
        <w:spacing w:before="0" w:beforeAutospacing="0" w:after="0" w:afterAutospacing="0"/>
        <w:ind w:right="-198"/>
        <w:textAlignment w:val="baseline"/>
        <w:rPr>
          <w:rFonts w:ascii="Garamond" w:hAnsi="Garamond"/>
          <w:color w:val="000000" w:themeColor="text1"/>
          <w:sz w:val="22"/>
          <w:szCs w:val="22"/>
        </w:rPr>
      </w:pPr>
      <w:r w:rsidRPr="000C008B">
        <w:rPr>
          <w:rFonts w:ascii="Garamond" w:hAnsi="Garamond"/>
          <w:b/>
          <w:bCs/>
          <w:color w:val="000000" w:themeColor="text1"/>
          <w:sz w:val="22"/>
          <w:szCs w:val="22"/>
        </w:rPr>
        <w:t>“The Self-Incrimination Clause of the Fifth Amendment is an unsolved riddle of vast proportions, a Gordian knot in the middle of our Bill of Rights</w:t>
      </w:r>
      <w:proofErr w:type="gramStart"/>
      <w:r w:rsidRPr="000C008B">
        <w:rPr>
          <w:rFonts w:ascii="Garamond" w:hAnsi="Garamond"/>
          <w:b/>
          <w:bCs/>
          <w:color w:val="000000" w:themeColor="text1"/>
          <w:sz w:val="22"/>
          <w:szCs w:val="22"/>
        </w:rPr>
        <w:t>.”*</w:t>
      </w:r>
      <w:proofErr w:type="gramEnd"/>
      <w:r w:rsidRPr="000C008B">
        <w:rPr>
          <w:rFonts w:ascii="Garamond" w:hAnsi="Garamond"/>
          <w:b/>
          <w:bCs/>
          <w:color w:val="000000" w:themeColor="text1"/>
          <w:sz w:val="22"/>
          <w:szCs w:val="22"/>
        </w:rPr>
        <w:t xml:space="preserve"> Do you agree or disagree with this quote? Explain your position. </w:t>
      </w:r>
    </w:p>
    <w:p w14:paraId="613BB1A6" w14:textId="77777777" w:rsidR="000C008B" w:rsidRPr="000C008B" w:rsidRDefault="000C008B" w:rsidP="000C008B">
      <w:pPr>
        <w:pStyle w:val="NormalWeb"/>
        <w:spacing w:before="0" w:beforeAutospacing="0" w:after="0" w:afterAutospacing="0"/>
        <w:ind w:left="360" w:right="-198"/>
        <w:textAlignment w:val="baseline"/>
        <w:rPr>
          <w:rFonts w:ascii="Garamond" w:hAnsi="Garamond"/>
          <w:color w:val="000000" w:themeColor="text1"/>
          <w:sz w:val="22"/>
          <w:szCs w:val="22"/>
        </w:rPr>
      </w:pPr>
    </w:p>
    <w:p w14:paraId="4A1B105C" w14:textId="77777777" w:rsidR="000C008B" w:rsidRPr="000C008B" w:rsidRDefault="000C008B" w:rsidP="000C008B">
      <w:pPr>
        <w:pStyle w:val="NormalWeb"/>
        <w:numPr>
          <w:ilvl w:val="0"/>
          <w:numId w:val="15"/>
        </w:numPr>
        <w:spacing w:before="0" w:beforeAutospacing="0" w:after="0" w:afterAutospacing="0"/>
        <w:ind w:right="-198"/>
        <w:textAlignment w:val="baseline"/>
        <w:rPr>
          <w:rFonts w:ascii="Garamond" w:hAnsi="Garamond"/>
          <w:color w:val="000000" w:themeColor="text1"/>
          <w:sz w:val="22"/>
          <w:szCs w:val="22"/>
        </w:rPr>
      </w:pPr>
      <w:r w:rsidRPr="000C008B">
        <w:rPr>
          <w:rFonts w:ascii="Garamond" w:hAnsi="Garamond"/>
          <w:color w:val="000000" w:themeColor="text1"/>
          <w:sz w:val="22"/>
          <w:szCs w:val="22"/>
        </w:rPr>
        <w:t>What is the history of the Fifth Amendment’s self-incrimination clause, and why might it be controversial?</w:t>
      </w:r>
    </w:p>
    <w:p w14:paraId="0B4F7836" w14:textId="77777777" w:rsidR="000C008B" w:rsidRPr="000C008B" w:rsidRDefault="000C008B" w:rsidP="000C008B">
      <w:pPr>
        <w:numPr>
          <w:ilvl w:val="0"/>
          <w:numId w:val="13"/>
        </w:numPr>
        <w:textAlignment w:val="baseline"/>
        <w:rPr>
          <w:rFonts w:ascii="Garamond" w:eastAsia="Calibri" w:hAnsi="Garamond" w:cs="Arial"/>
          <w:color w:val="000000" w:themeColor="text1"/>
          <w:sz w:val="22"/>
          <w:szCs w:val="22"/>
        </w:rPr>
      </w:pPr>
      <w:r w:rsidRPr="000C008B">
        <w:rPr>
          <w:rFonts w:ascii="Garamond" w:eastAsia="Calibri" w:hAnsi="Garamond"/>
          <w:color w:val="000000" w:themeColor="text1"/>
          <w:sz w:val="22"/>
          <w:szCs w:val="22"/>
        </w:rPr>
        <w:t xml:space="preserve">Should refusing to give up your mobile phone’s passcode be protected under the self-incrimination clause of the Fifth </w:t>
      </w:r>
      <w:proofErr w:type="gramStart"/>
      <w:r w:rsidRPr="000C008B">
        <w:rPr>
          <w:rFonts w:ascii="Garamond" w:eastAsia="Calibri" w:hAnsi="Garamond"/>
          <w:color w:val="000000" w:themeColor="text1"/>
          <w:sz w:val="22"/>
          <w:szCs w:val="22"/>
        </w:rPr>
        <w:t>Amendment?*</w:t>
      </w:r>
      <w:proofErr w:type="gramEnd"/>
      <w:r w:rsidRPr="000C008B">
        <w:rPr>
          <w:rFonts w:ascii="Garamond" w:eastAsia="Calibri" w:hAnsi="Garamond"/>
          <w:color w:val="000000" w:themeColor="text1"/>
          <w:sz w:val="22"/>
          <w:szCs w:val="22"/>
        </w:rPr>
        <w:t xml:space="preserve">* Why or why not? </w:t>
      </w:r>
    </w:p>
    <w:p w14:paraId="02C35A7B" w14:textId="77777777" w:rsidR="000C008B" w:rsidRPr="000C008B" w:rsidRDefault="000C008B" w:rsidP="000C008B">
      <w:pPr>
        <w:pStyle w:val="ListParagraph"/>
        <w:spacing w:after="0" w:line="240" w:lineRule="auto"/>
        <w:rPr>
          <w:rFonts w:ascii="Garamond" w:hAnsi="Garamond"/>
          <w:color w:val="000000" w:themeColor="text1"/>
        </w:rPr>
      </w:pPr>
    </w:p>
    <w:p w14:paraId="1B72D044" w14:textId="77777777" w:rsidR="000C008B" w:rsidRPr="000C008B" w:rsidRDefault="000C008B" w:rsidP="000C008B">
      <w:pPr>
        <w:rPr>
          <w:rFonts w:ascii="Garamond" w:hAnsi="Garamond"/>
          <w:color w:val="000000" w:themeColor="text1"/>
          <w:sz w:val="22"/>
          <w:szCs w:val="22"/>
        </w:rPr>
      </w:pPr>
      <w:r w:rsidRPr="000C008B">
        <w:rPr>
          <w:rFonts w:ascii="Garamond" w:hAnsi="Garamond"/>
          <w:color w:val="000000" w:themeColor="text1"/>
          <w:sz w:val="22"/>
          <w:szCs w:val="22"/>
        </w:rPr>
        <w:t xml:space="preserve">* Akhil Reed Amar and Renee B. </w:t>
      </w:r>
      <w:proofErr w:type="spellStart"/>
      <w:r w:rsidRPr="000C008B">
        <w:rPr>
          <w:rFonts w:ascii="Garamond" w:hAnsi="Garamond"/>
          <w:color w:val="000000" w:themeColor="text1"/>
          <w:sz w:val="22"/>
          <w:szCs w:val="22"/>
        </w:rPr>
        <w:t>Lettow</w:t>
      </w:r>
      <w:proofErr w:type="spellEnd"/>
      <w:r w:rsidRPr="000C008B">
        <w:rPr>
          <w:rFonts w:ascii="Garamond" w:hAnsi="Garamond"/>
          <w:color w:val="000000" w:themeColor="text1"/>
          <w:sz w:val="22"/>
          <w:szCs w:val="22"/>
        </w:rPr>
        <w:t xml:space="preserve">, “Fifth Amendment First Principles: The Self-Incrimination Clause,” </w:t>
      </w:r>
      <w:r w:rsidRPr="000C008B">
        <w:rPr>
          <w:rFonts w:ascii="Garamond" w:hAnsi="Garamond"/>
          <w:i/>
          <w:color w:val="000000" w:themeColor="text1"/>
          <w:sz w:val="22"/>
          <w:szCs w:val="22"/>
        </w:rPr>
        <w:t>Michigan Law Review</w:t>
      </w:r>
      <w:r w:rsidRPr="000C008B">
        <w:rPr>
          <w:rFonts w:ascii="Garamond" w:hAnsi="Garamond"/>
          <w:color w:val="000000" w:themeColor="text1"/>
          <w:sz w:val="22"/>
          <w:szCs w:val="22"/>
        </w:rPr>
        <w:t xml:space="preserve"> 93, no. 5 (March 1995): 857–928.</w:t>
      </w:r>
    </w:p>
    <w:p w14:paraId="1EAC814C" w14:textId="77777777" w:rsidR="000C008B" w:rsidRPr="000C008B" w:rsidRDefault="000C008B" w:rsidP="000C008B">
      <w:pPr>
        <w:rPr>
          <w:rFonts w:ascii="Garamond" w:hAnsi="Garamond"/>
          <w:color w:val="000000" w:themeColor="text1"/>
          <w:sz w:val="22"/>
          <w:szCs w:val="22"/>
        </w:rPr>
      </w:pPr>
    </w:p>
    <w:p w14:paraId="5AE8FAC1" w14:textId="77777777" w:rsidR="000C008B" w:rsidRPr="000C008B" w:rsidRDefault="000C008B" w:rsidP="000C008B">
      <w:pPr>
        <w:rPr>
          <w:rFonts w:ascii="Garamond" w:hAnsi="Garamond"/>
          <w:color w:val="000000" w:themeColor="text1"/>
          <w:sz w:val="22"/>
          <w:szCs w:val="22"/>
        </w:rPr>
      </w:pPr>
      <w:r w:rsidRPr="000C008B">
        <w:rPr>
          <w:rFonts w:ascii="Garamond" w:hAnsi="Garamond"/>
          <w:color w:val="000000" w:themeColor="text1"/>
          <w:sz w:val="22"/>
          <w:szCs w:val="22"/>
        </w:rPr>
        <w:t xml:space="preserve">** </w:t>
      </w:r>
      <w:r w:rsidRPr="000C008B">
        <w:rPr>
          <w:rFonts w:ascii="Garamond" w:hAnsi="Garamond"/>
          <w:iCs/>
          <w:color w:val="000000" w:themeColor="text1"/>
          <w:sz w:val="22"/>
          <w:szCs w:val="22"/>
        </w:rPr>
        <w:t xml:space="preserve">Katelin </w:t>
      </w:r>
      <w:proofErr w:type="spellStart"/>
      <w:r w:rsidRPr="000C008B">
        <w:rPr>
          <w:rFonts w:ascii="Garamond" w:hAnsi="Garamond"/>
          <w:iCs/>
          <w:color w:val="000000" w:themeColor="text1"/>
          <w:sz w:val="22"/>
          <w:szCs w:val="22"/>
        </w:rPr>
        <w:t>Eunjoo</w:t>
      </w:r>
      <w:proofErr w:type="spellEnd"/>
      <w:r w:rsidRPr="000C008B">
        <w:rPr>
          <w:rFonts w:ascii="Garamond" w:hAnsi="Garamond"/>
          <w:iCs/>
          <w:color w:val="000000" w:themeColor="text1"/>
          <w:sz w:val="22"/>
          <w:szCs w:val="22"/>
        </w:rPr>
        <w:t xml:space="preserve"> </w:t>
      </w:r>
      <w:proofErr w:type="spellStart"/>
      <w:r w:rsidRPr="000C008B">
        <w:rPr>
          <w:rFonts w:ascii="Garamond" w:hAnsi="Garamond"/>
          <w:iCs/>
          <w:color w:val="000000" w:themeColor="text1"/>
          <w:sz w:val="22"/>
          <w:szCs w:val="22"/>
        </w:rPr>
        <w:t>Seo</w:t>
      </w:r>
      <w:proofErr w:type="spellEnd"/>
      <w:r w:rsidRPr="000C008B">
        <w:rPr>
          <w:rFonts w:ascii="Garamond" w:hAnsi="Garamond"/>
          <w:iCs/>
          <w:color w:val="000000" w:themeColor="text1"/>
          <w:sz w:val="22"/>
          <w:szCs w:val="22"/>
        </w:rPr>
        <w:t xml:space="preserve"> v. State of Indiana</w:t>
      </w:r>
      <w:r w:rsidRPr="000C008B">
        <w:rPr>
          <w:rFonts w:ascii="Garamond" w:hAnsi="Garamond"/>
          <w:color w:val="000000" w:themeColor="text1"/>
          <w:sz w:val="22"/>
          <w:szCs w:val="22"/>
        </w:rPr>
        <w:t>, 18S-CR-595 (2018).</w:t>
      </w:r>
    </w:p>
    <w:p w14:paraId="03E331E4" w14:textId="77777777" w:rsidR="002C07BA" w:rsidRPr="000C008B" w:rsidRDefault="002C07BA" w:rsidP="00BE3FB3">
      <w:pPr>
        <w:pStyle w:val="UnitHeader"/>
        <w:rPr>
          <w:rFonts w:ascii="Garamond" w:hAnsi="Garamond"/>
          <w:color w:val="000000" w:themeColor="text1"/>
          <w:sz w:val="22"/>
          <w:szCs w:val="22"/>
        </w:rPr>
      </w:pPr>
    </w:p>
    <w:p w14:paraId="4CB0675A" w14:textId="77777777" w:rsidR="004E0E3B" w:rsidRPr="000C008B" w:rsidRDefault="004E0E3B" w:rsidP="00BE3FB3">
      <w:pPr>
        <w:pBdr>
          <w:bottom w:val="single" w:sz="12" w:space="1" w:color="auto"/>
        </w:pBdr>
        <w:contextualSpacing/>
        <w:rPr>
          <w:rFonts w:ascii="Garamond" w:hAnsi="Garamond"/>
          <w:color w:val="000000" w:themeColor="text1"/>
          <w:sz w:val="22"/>
          <w:szCs w:val="22"/>
        </w:rPr>
      </w:pPr>
    </w:p>
    <w:p w14:paraId="6617163C" w14:textId="4B89301A" w:rsidR="00BE3FB3" w:rsidRDefault="00BE3FB3" w:rsidP="00BE3FB3">
      <w:pPr>
        <w:contextualSpacing/>
        <w:rPr>
          <w:rFonts w:ascii="Times New Roman" w:hAnsi="Times New Roman"/>
          <w:color w:val="000000" w:themeColor="text1"/>
          <w:sz w:val="20"/>
          <w:szCs w:val="20"/>
        </w:rPr>
      </w:pPr>
    </w:p>
    <w:p w14:paraId="2F79279D" w14:textId="77777777" w:rsidR="00885BD4" w:rsidRPr="003F2281" w:rsidRDefault="00885BD4" w:rsidP="00885BD4">
      <w:pPr>
        <w:rPr>
          <w:rFonts w:ascii="Century Gothic" w:hAnsi="Century Gothic"/>
          <w:b/>
          <w:bCs/>
          <w:sz w:val="22"/>
          <w:szCs w:val="22"/>
          <w:u w:val="single"/>
        </w:rPr>
      </w:pPr>
      <w:r w:rsidRPr="003F2281">
        <w:rPr>
          <w:rFonts w:ascii="Century Gothic" w:hAnsi="Century Gothic"/>
          <w:b/>
          <w:bCs/>
          <w:sz w:val="22"/>
          <w:szCs w:val="22"/>
          <w:u w:val="single"/>
        </w:rPr>
        <w:t>Collaboration Tips</w:t>
      </w:r>
    </w:p>
    <w:p w14:paraId="55F16DC1" w14:textId="77777777" w:rsidR="00885BD4" w:rsidRDefault="00885BD4" w:rsidP="00885BD4">
      <w:pPr>
        <w:rPr>
          <w:rFonts w:ascii="Century Gothic" w:hAnsi="Century Gothic"/>
          <w:sz w:val="18"/>
          <w:szCs w:val="18"/>
        </w:rPr>
      </w:pPr>
    </w:p>
    <w:p w14:paraId="434F0748" w14:textId="77777777" w:rsidR="00885BD4" w:rsidRDefault="00885BD4" w:rsidP="00885BD4">
      <w:pPr>
        <w:pStyle w:val="Body"/>
        <w:rPr>
          <w:rFonts w:ascii="Times New Roman" w:hAnsi="Times New Roman"/>
          <w:b/>
          <w:bCs/>
          <w:color w:val="000000" w:themeColor="text1"/>
          <w:sz w:val="24"/>
          <w:szCs w:val="24"/>
        </w:rPr>
      </w:pPr>
    </w:p>
    <w:p w14:paraId="49D72734" w14:textId="54F60576" w:rsidR="00885BD4" w:rsidRDefault="00885BD4" w:rsidP="00885BD4">
      <w:pPr>
        <w:rPr>
          <w:rFonts w:ascii="Century Gothic" w:hAnsi="Century Gothic"/>
          <w:sz w:val="18"/>
          <w:szCs w:val="18"/>
        </w:rPr>
      </w:pPr>
      <w:r>
        <w:rPr>
          <w:rFonts w:ascii="Century Gothic" w:hAnsi="Century Gothic"/>
          <w:b/>
          <w:bCs/>
        </w:rPr>
        <w:t>7</w:t>
      </w:r>
      <w:r w:rsidRPr="00BE3FB3">
        <w:rPr>
          <w:rFonts w:ascii="Century Gothic" w:hAnsi="Century Gothic"/>
          <w:b/>
          <w:bCs/>
        </w:rPr>
        <w:t xml:space="preserve"> </w:t>
      </w:r>
      <w:r>
        <w:rPr>
          <w:rFonts w:ascii="Century Gothic" w:hAnsi="Century Gothic"/>
          <w:sz w:val="18"/>
          <w:szCs w:val="18"/>
        </w:rPr>
        <w:t>different questions are in this overall question.</w:t>
      </w:r>
    </w:p>
    <w:p w14:paraId="5E07CBC2" w14:textId="77777777" w:rsidR="00885BD4" w:rsidRDefault="00885BD4" w:rsidP="00885BD4">
      <w:pPr>
        <w:rPr>
          <w:rFonts w:ascii="Century Gothic" w:hAnsi="Century Gothic"/>
          <w:sz w:val="18"/>
          <w:szCs w:val="18"/>
        </w:rPr>
      </w:pPr>
    </w:p>
    <w:p w14:paraId="6C20B175" w14:textId="77777777" w:rsidR="00885BD4" w:rsidRDefault="00885BD4" w:rsidP="00885BD4">
      <w:pPr>
        <w:rPr>
          <w:rFonts w:ascii="Century Gothic" w:hAnsi="Century Gothic"/>
          <w:sz w:val="18"/>
          <w:szCs w:val="18"/>
        </w:rPr>
      </w:pPr>
      <w:r>
        <w:rPr>
          <w:rFonts w:ascii="Century Gothic" w:hAnsi="Century Gothic"/>
          <w:sz w:val="18"/>
          <w:szCs w:val="18"/>
        </w:rPr>
        <w:t xml:space="preserve">Historical events/context that connects to this question:  </w:t>
      </w:r>
    </w:p>
    <w:p w14:paraId="3D44C97E" w14:textId="77777777" w:rsidR="00885BD4" w:rsidRDefault="00885BD4" w:rsidP="00885BD4">
      <w:pPr>
        <w:rPr>
          <w:rFonts w:ascii="Century Gothic" w:hAnsi="Century Gothic"/>
          <w:sz w:val="18"/>
          <w:szCs w:val="18"/>
        </w:rPr>
        <w:sectPr w:rsidR="00885BD4" w:rsidSect="00885BD4">
          <w:type w:val="continuous"/>
          <w:pgSz w:w="12240" w:h="15840"/>
          <w:pgMar w:top="720" w:right="1440" w:bottom="720" w:left="1440" w:header="720" w:footer="720" w:gutter="0"/>
          <w:cols w:space="720"/>
          <w:docGrid w:linePitch="360"/>
        </w:sectPr>
      </w:pPr>
    </w:p>
    <w:p w14:paraId="12F2C782" w14:textId="77777777" w:rsidR="00885BD4" w:rsidRDefault="00885BD4" w:rsidP="00885BD4">
      <w:pPr>
        <w:rPr>
          <w:rFonts w:ascii="Century Gothic" w:hAnsi="Century Gothic"/>
          <w:sz w:val="18"/>
          <w:szCs w:val="18"/>
        </w:rPr>
      </w:pPr>
    </w:p>
    <w:p w14:paraId="43266115" w14:textId="37E06340" w:rsidR="00885BD4" w:rsidRDefault="00885BD4" w:rsidP="00885BD4">
      <w:pPr>
        <w:pStyle w:val="ListParagraph"/>
        <w:numPr>
          <w:ilvl w:val="0"/>
          <w:numId w:val="3"/>
        </w:numPr>
        <w:rPr>
          <w:rFonts w:ascii="Century Gothic" w:hAnsi="Century Gothic"/>
          <w:b/>
          <w:bCs/>
          <w:sz w:val="18"/>
          <w:szCs w:val="18"/>
        </w:rPr>
      </w:pPr>
      <w:r>
        <w:rPr>
          <w:rFonts w:ascii="Century Gothic" w:hAnsi="Century Gothic"/>
          <w:b/>
          <w:bCs/>
          <w:sz w:val="18"/>
          <w:szCs w:val="18"/>
        </w:rPr>
        <w:t>Actions of King George III</w:t>
      </w:r>
    </w:p>
    <w:p w14:paraId="364C5E93" w14:textId="53A0B599" w:rsidR="00885BD4" w:rsidRDefault="00885BD4" w:rsidP="00885BD4">
      <w:pPr>
        <w:pStyle w:val="ListParagraph"/>
        <w:numPr>
          <w:ilvl w:val="0"/>
          <w:numId w:val="3"/>
        </w:numPr>
        <w:rPr>
          <w:rFonts w:ascii="Century Gothic" w:hAnsi="Century Gothic"/>
          <w:b/>
          <w:bCs/>
          <w:sz w:val="18"/>
          <w:szCs w:val="18"/>
        </w:rPr>
      </w:pPr>
      <w:r>
        <w:rPr>
          <w:rFonts w:ascii="Century Gothic" w:hAnsi="Century Gothic"/>
          <w:b/>
          <w:bCs/>
          <w:sz w:val="18"/>
          <w:szCs w:val="18"/>
        </w:rPr>
        <w:t>Parliament’s actions as it relates to the Declaration of Independence</w:t>
      </w:r>
    </w:p>
    <w:p w14:paraId="5763948F" w14:textId="01ADC522" w:rsidR="00885BD4" w:rsidRDefault="00885BD4" w:rsidP="00885BD4">
      <w:pPr>
        <w:pStyle w:val="ListParagraph"/>
        <w:numPr>
          <w:ilvl w:val="0"/>
          <w:numId w:val="3"/>
        </w:numPr>
        <w:rPr>
          <w:rFonts w:ascii="Century Gothic" w:hAnsi="Century Gothic"/>
          <w:b/>
          <w:bCs/>
          <w:sz w:val="18"/>
          <w:szCs w:val="18"/>
        </w:rPr>
      </w:pPr>
      <w:r>
        <w:rPr>
          <w:rFonts w:ascii="Century Gothic" w:hAnsi="Century Gothic"/>
          <w:b/>
          <w:bCs/>
          <w:sz w:val="18"/>
          <w:szCs w:val="18"/>
        </w:rPr>
        <w:t>Magna Carta</w:t>
      </w:r>
    </w:p>
    <w:p w14:paraId="02705663" w14:textId="6CE6BFCA" w:rsidR="00885BD4" w:rsidRDefault="00885BD4" w:rsidP="00885BD4">
      <w:pPr>
        <w:pStyle w:val="ListParagraph"/>
        <w:numPr>
          <w:ilvl w:val="0"/>
          <w:numId w:val="3"/>
        </w:numPr>
        <w:rPr>
          <w:rFonts w:ascii="Century Gothic" w:hAnsi="Century Gothic"/>
          <w:b/>
          <w:bCs/>
          <w:sz w:val="18"/>
          <w:szCs w:val="18"/>
        </w:rPr>
      </w:pPr>
      <w:r>
        <w:rPr>
          <w:rFonts w:ascii="Century Gothic" w:hAnsi="Century Gothic"/>
          <w:b/>
          <w:bCs/>
          <w:sz w:val="18"/>
          <w:szCs w:val="18"/>
        </w:rPr>
        <w:t>Miranda v. Arizona</w:t>
      </w:r>
    </w:p>
    <w:p w14:paraId="6B58A416" w14:textId="1136C4E3" w:rsidR="00885BD4" w:rsidRDefault="00885BD4" w:rsidP="00885BD4">
      <w:pPr>
        <w:pStyle w:val="ListParagraph"/>
        <w:numPr>
          <w:ilvl w:val="0"/>
          <w:numId w:val="3"/>
        </w:numPr>
        <w:rPr>
          <w:rFonts w:ascii="Century Gothic" w:hAnsi="Century Gothic"/>
          <w:b/>
          <w:bCs/>
          <w:sz w:val="18"/>
          <w:szCs w:val="18"/>
        </w:rPr>
      </w:pPr>
      <w:r>
        <w:rPr>
          <w:rFonts w:ascii="Century Gothic" w:hAnsi="Century Gothic"/>
          <w:b/>
          <w:bCs/>
          <w:sz w:val="18"/>
          <w:szCs w:val="18"/>
        </w:rPr>
        <w:t>Search &amp; Seizure in schools</w:t>
      </w:r>
    </w:p>
    <w:p w14:paraId="7D2C0005" w14:textId="77777777" w:rsidR="00885BD4" w:rsidRPr="00BE3FB3" w:rsidRDefault="00885BD4" w:rsidP="00885BD4">
      <w:pPr>
        <w:pStyle w:val="ListParagraph"/>
        <w:rPr>
          <w:rFonts w:ascii="Century Gothic" w:hAnsi="Century Gothic"/>
          <w:b/>
          <w:bCs/>
          <w:sz w:val="18"/>
          <w:szCs w:val="18"/>
        </w:rPr>
      </w:pPr>
    </w:p>
    <w:p w14:paraId="32674563" w14:textId="77777777" w:rsidR="00885BD4" w:rsidRDefault="00885BD4" w:rsidP="00885BD4">
      <w:pPr>
        <w:rPr>
          <w:rFonts w:ascii="Century Gothic" w:hAnsi="Century Gothic"/>
          <w:sz w:val="18"/>
          <w:szCs w:val="18"/>
        </w:rPr>
        <w:sectPr w:rsidR="00885BD4" w:rsidSect="00665D73">
          <w:type w:val="continuous"/>
          <w:pgSz w:w="12240" w:h="15840"/>
          <w:pgMar w:top="720" w:right="1440" w:bottom="720" w:left="1440" w:header="720" w:footer="720" w:gutter="0"/>
          <w:cols w:num="2" w:space="720"/>
          <w:docGrid w:linePitch="360"/>
        </w:sectPr>
      </w:pPr>
    </w:p>
    <w:p w14:paraId="3EDDA9E0" w14:textId="77777777" w:rsidR="00885BD4" w:rsidRDefault="00885BD4" w:rsidP="00885BD4">
      <w:pPr>
        <w:rPr>
          <w:rFonts w:ascii="Century Gothic" w:hAnsi="Century Gothic"/>
          <w:sz w:val="18"/>
          <w:szCs w:val="18"/>
        </w:rPr>
      </w:pPr>
    </w:p>
    <w:p w14:paraId="58CAD815" w14:textId="77777777" w:rsidR="00885BD4" w:rsidRDefault="00885BD4" w:rsidP="00885BD4">
      <w:pPr>
        <w:rPr>
          <w:rFonts w:ascii="Century Gothic" w:hAnsi="Century Gothic"/>
          <w:sz w:val="18"/>
          <w:szCs w:val="18"/>
        </w:rPr>
      </w:pPr>
      <w:r>
        <w:rPr>
          <w:rFonts w:ascii="Century Gothic" w:hAnsi="Century Gothic"/>
          <w:sz w:val="18"/>
          <w:szCs w:val="18"/>
        </w:rPr>
        <w:t xml:space="preserve">Sections of the US Constitution that apply:  </w:t>
      </w:r>
    </w:p>
    <w:p w14:paraId="78D07212" w14:textId="071F72A5" w:rsidR="00885BD4" w:rsidRPr="00665D73" w:rsidRDefault="00885BD4" w:rsidP="00885BD4">
      <w:pPr>
        <w:pStyle w:val="ListParagraph"/>
        <w:numPr>
          <w:ilvl w:val="0"/>
          <w:numId w:val="16"/>
        </w:numPr>
        <w:rPr>
          <w:rFonts w:ascii="Century Gothic" w:hAnsi="Century Gothic"/>
          <w:b/>
          <w:bCs/>
          <w:sz w:val="18"/>
          <w:szCs w:val="18"/>
        </w:rPr>
      </w:pPr>
      <w:r>
        <w:rPr>
          <w:rFonts w:ascii="Century Gothic" w:hAnsi="Century Gothic"/>
          <w:b/>
          <w:bCs/>
          <w:sz w:val="18"/>
          <w:szCs w:val="18"/>
        </w:rPr>
        <w:t>Fourth, Fifth, 14</w:t>
      </w:r>
      <w:r w:rsidRPr="00885BD4">
        <w:rPr>
          <w:rFonts w:ascii="Century Gothic" w:hAnsi="Century Gothic"/>
          <w:b/>
          <w:bCs/>
          <w:sz w:val="18"/>
          <w:szCs w:val="18"/>
          <w:vertAlign w:val="superscript"/>
        </w:rPr>
        <w:t>th</w:t>
      </w:r>
      <w:r>
        <w:rPr>
          <w:rFonts w:ascii="Century Gothic" w:hAnsi="Century Gothic"/>
          <w:b/>
          <w:bCs/>
          <w:sz w:val="18"/>
          <w:szCs w:val="18"/>
        </w:rPr>
        <w:t xml:space="preserve"> Amendments</w:t>
      </w:r>
    </w:p>
    <w:p w14:paraId="6DB9F7C1" w14:textId="77777777" w:rsidR="00885BD4" w:rsidRDefault="00885BD4" w:rsidP="00885BD4">
      <w:pPr>
        <w:rPr>
          <w:rFonts w:ascii="Century Gothic" w:hAnsi="Century Gothic"/>
          <w:sz w:val="18"/>
          <w:szCs w:val="18"/>
        </w:rPr>
      </w:pPr>
    </w:p>
    <w:p w14:paraId="1262A466" w14:textId="77777777" w:rsidR="00885BD4" w:rsidRDefault="00885BD4" w:rsidP="00885BD4">
      <w:pPr>
        <w:rPr>
          <w:rFonts w:ascii="Century Gothic" w:hAnsi="Century Gothic"/>
          <w:sz w:val="18"/>
          <w:szCs w:val="18"/>
        </w:rPr>
      </w:pPr>
      <w:r>
        <w:rPr>
          <w:rFonts w:ascii="Century Gothic" w:hAnsi="Century Gothic"/>
          <w:sz w:val="18"/>
          <w:szCs w:val="18"/>
        </w:rPr>
        <w:t xml:space="preserve">Vocabulary: </w:t>
      </w:r>
    </w:p>
    <w:p w14:paraId="77F4906C" w14:textId="3F720019" w:rsidR="00885BD4" w:rsidRPr="00665D73" w:rsidRDefault="00885BD4" w:rsidP="00885BD4">
      <w:pPr>
        <w:pStyle w:val="ListParagraph"/>
        <w:numPr>
          <w:ilvl w:val="0"/>
          <w:numId w:val="17"/>
        </w:numPr>
        <w:rPr>
          <w:rFonts w:ascii="Century Gothic" w:hAnsi="Century Gothic"/>
          <w:b/>
          <w:bCs/>
          <w:sz w:val="18"/>
          <w:szCs w:val="18"/>
        </w:rPr>
      </w:pPr>
      <w:r>
        <w:rPr>
          <w:rFonts w:ascii="Century Gothic" w:hAnsi="Century Gothic"/>
          <w:b/>
          <w:bCs/>
          <w:sz w:val="18"/>
          <w:szCs w:val="18"/>
        </w:rPr>
        <w:t>Gordian Knot</w:t>
      </w:r>
    </w:p>
    <w:p w14:paraId="7C556F2D" w14:textId="77777777" w:rsidR="00885BD4" w:rsidRDefault="00885BD4" w:rsidP="00885BD4">
      <w:pPr>
        <w:rPr>
          <w:rFonts w:ascii="Century Gothic" w:hAnsi="Century Gothic"/>
          <w:sz w:val="18"/>
          <w:szCs w:val="18"/>
        </w:rPr>
      </w:pPr>
    </w:p>
    <w:p w14:paraId="7496F992" w14:textId="77777777" w:rsidR="00885BD4" w:rsidRDefault="00885BD4" w:rsidP="00885BD4">
      <w:pPr>
        <w:rPr>
          <w:rFonts w:ascii="Century Gothic" w:hAnsi="Century Gothic"/>
          <w:sz w:val="18"/>
          <w:szCs w:val="18"/>
        </w:rPr>
      </w:pPr>
      <w:r w:rsidRPr="009618F4">
        <w:rPr>
          <w:rFonts w:ascii="Century Gothic" w:hAnsi="Century Gothic"/>
          <w:sz w:val="18"/>
          <w:szCs w:val="18"/>
        </w:rPr>
        <w:t>Possible Current Events</w:t>
      </w:r>
      <w:r>
        <w:rPr>
          <w:rFonts w:ascii="Century Gothic" w:hAnsi="Century Gothic"/>
          <w:sz w:val="18"/>
          <w:szCs w:val="18"/>
        </w:rPr>
        <w:t>:</w:t>
      </w:r>
    </w:p>
    <w:p w14:paraId="04F2C43C" w14:textId="0EFDE94E" w:rsidR="00885BD4" w:rsidRDefault="00885BD4" w:rsidP="00885BD4">
      <w:pPr>
        <w:pStyle w:val="ListParagraph"/>
        <w:numPr>
          <w:ilvl w:val="0"/>
          <w:numId w:val="19"/>
        </w:numPr>
        <w:rPr>
          <w:rFonts w:ascii="Century Gothic" w:hAnsi="Century Gothic"/>
          <w:b/>
          <w:bCs/>
          <w:sz w:val="18"/>
          <w:szCs w:val="18"/>
        </w:rPr>
      </w:pPr>
      <w:r>
        <w:rPr>
          <w:rFonts w:ascii="Century Gothic" w:hAnsi="Century Gothic"/>
          <w:b/>
          <w:bCs/>
          <w:sz w:val="18"/>
          <w:szCs w:val="18"/>
        </w:rPr>
        <w:t>Facial recognition technology, esp. w/phones</w:t>
      </w:r>
    </w:p>
    <w:p w14:paraId="3DEC0C8F" w14:textId="1775AF8D" w:rsidR="00885BD4" w:rsidRPr="009618F4" w:rsidRDefault="00885BD4" w:rsidP="00885BD4">
      <w:pPr>
        <w:pStyle w:val="ListParagraph"/>
        <w:numPr>
          <w:ilvl w:val="0"/>
          <w:numId w:val="19"/>
        </w:numPr>
        <w:rPr>
          <w:rFonts w:ascii="Century Gothic" w:hAnsi="Century Gothic"/>
          <w:b/>
          <w:bCs/>
          <w:sz w:val="18"/>
          <w:szCs w:val="18"/>
        </w:rPr>
      </w:pPr>
      <w:r>
        <w:rPr>
          <w:rFonts w:ascii="Century Gothic" w:hAnsi="Century Gothic"/>
          <w:b/>
          <w:bCs/>
          <w:sz w:val="18"/>
          <w:szCs w:val="18"/>
        </w:rPr>
        <w:t>Analog v. digital technology</w:t>
      </w:r>
    </w:p>
    <w:p w14:paraId="705EE1D3" w14:textId="77777777" w:rsidR="00885BD4" w:rsidRDefault="00885BD4" w:rsidP="00885BD4">
      <w:pPr>
        <w:rPr>
          <w:rFonts w:ascii="Century Gothic" w:hAnsi="Century Gothic"/>
          <w:sz w:val="18"/>
          <w:szCs w:val="18"/>
        </w:rPr>
      </w:pPr>
    </w:p>
    <w:p w14:paraId="030A460E" w14:textId="77777777" w:rsidR="00885BD4" w:rsidRDefault="00885BD4" w:rsidP="00885BD4">
      <w:pPr>
        <w:rPr>
          <w:rFonts w:ascii="Century Gothic" w:hAnsi="Century Gothic"/>
          <w:sz w:val="18"/>
          <w:szCs w:val="18"/>
        </w:rPr>
      </w:pPr>
      <w:r>
        <w:rPr>
          <w:rFonts w:ascii="Century Gothic" w:hAnsi="Century Gothic"/>
          <w:sz w:val="18"/>
          <w:szCs w:val="18"/>
        </w:rPr>
        <w:t>Possible Court Cases:</w:t>
      </w:r>
    </w:p>
    <w:p w14:paraId="323C1169" w14:textId="22176294" w:rsidR="00885BD4" w:rsidRDefault="00885BD4" w:rsidP="00885BD4">
      <w:pPr>
        <w:pStyle w:val="ListParagraph"/>
        <w:numPr>
          <w:ilvl w:val="0"/>
          <w:numId w:val="18"/>
        </w:numPr>
        <w:rPr>
          <w:rFonts w:ascii="Century Gothic" w:hAnsi="Century Gothic"/>
          <w:b/>
          <w:bCs/>
          <w:i/>
          <w:iCs/>
          <w:sz w:val="18"/>
          <w:szCs w:val="18"/>
        </w:rPr>
      </w:pPr>
      <w:r>
        <w:rPr>
          <w:rFonts w:ascii="Century Gothic" w:hAnsi="Century Gothic"/>
          <w:b/>
          <w:bCs/>
          <w:i/>
          <w:iCs/>
          <w:sz w:val="18"/>
          <w:szCs w:val="18"/>
        </w:rPr>
        <w:t>State v. Davis</w:t>
      </w:r>
    </w:p>
    <w:p w14:paraId="762D89C6" w14:textId="2FDE255E" w:rsidR="00885BD4" w:rsidRDefault="00885BD4" w:rsidP="00885BD4">
      <w:pPr>
        <w:pStyle w:val="ListParagraph"/>
        <w:numPr>
          <w:ilvl w:val="0"/>
          <w:numId w:val="18"/>
        </w:numPr>
        <w:rPr>
          <w:rFonts w:ascii="Century Gothic" w:hAnsi="Century Gothic"/>
          <w:b/>
          <w:bCs/>
          <w:i/>
          <w:iCs/>
          <w:sz w:val="18"/>
          <w:szCs w:val="18"/>
        </w:rPr>
      </w:pPr>
      <w:r>
        <w:rPr>
          <w:rFonts w:ascii="Century Gothic" w:hAnsi="Century Gothic"/>
          <w:b/>
          <w:bCs/>
          <w:i/>
          <w:iCs/>
          <w:sz w:val="18"/>
          <w:szCs w:val="18"/>
        </w:rPr>
        <w:t>Miranda v. Arizona</w:t>
      </w:r>
    </w:p>
    <w:p w14:paraId="784C6362" w14:textId="35E66E17" w:rsidR="00885BD4" w:rsidRDefault="00885BD4" w:rsidP="00885BD4">
      <w:pPr>
        <w:pStyle w:val="ListParagraph"/>
        <w:numPr>
          <w:ilvl w:val="0"/>
          <w:numId w:val="18"/>
        </w:numPr>
        <w:rPr>
          <w:rFonts w:ascii="Century Gothic" w:hAnsi="Century Gothic"/>
          <w:b/>
          <w:bCs/>
          <w:i/>
          <w:iCs/>
          <w:sz w:val="18"/>
          <w:szCs w:val="18"/>
        </w:rPr>
      </w:pPr>
      <w:r>
        <w:rPr>
          <w:rFonts w:ascii="Century Gothic" w:hAnsi="Century Gothic"/>
          <w:b/>
          <w:bCs/>
          <w:i/>
          <w:iCs/>
          <w:sz w:val="18"/>
          <w:szCs w:val="18"/>
        </w:rPr>
        <w:t xml:space="preserve">Katelin </w:t>
      </w:r>
      <w:proofErr w:type="spellStart"/>
      <w:r>
        <w:rPr>
          <w:rFonts w:ascii="Century Gothic" w:hAnsi="Century Gothic"/>
          <w:b/>
          <w:bCs/>
          <w:i/>
          <w:iCs/>
          <w:sz w:val="18"/>
          <w:szCs w:val="18"/>
        </w:rPr>
        <w:t>Eunjoo</w:t>
      </w:r>
      <w:proofErr w:type="spellEnd"/>
      <w:r>
        <w:rPr>
          <w:rFonts w:ascii="Century Gothic" w:hAnsi="Century Gothic"/>
          <w:b/>
          <w:bCs/>
          <w:i/>
          <w:iCs/>
          <w:sz w:val="18"/>
          <w:szCs w:val="18"/>
        </w:rPr>
        <w:t xml:space="preserve"> </w:t>
      </w:r>
      <w:proofErr w:type="spellStart"/>
      <w:r>
        <w:rPr>
          <w:rFonts w:ascii="Century Gothic" w:hAnsi="Century Gothic"/>
          <w:b/>
          <w:bCs/>
          <w:i/>
          <w:iCs/>
          <w:sz w:val="18"/>
          <w:szCs w:val="18"/>
        </w:rPr>
        <w:t>Seo</w:t>
      </w:r>
      <w:proofErr w:type="spellEnd"/>
      <w:r>
        <w:rPr>
          <w:rFonts w:ascii="Century Gothic" w:hAnsi="Century Gothic"/>
          <w:b/>
          <w:bCs/>
          <w:i/>
          <w:iCs/>
          <w:sz w:val="18"/>
          <w:szCs w:val="18"/>
        </w:rPr>
        <w:t xml:space="preserve"> v. State of Indiana</w:t>
      </w:r>
    </w:p>
    <w:p w14:paraId="641A4BC9" w14:textId="4C16432D" w:rsidR="00885BD4" w:rsidRDefault="00885BD4" w:rsidP="00885BD4">
      <w:pPr>
        <w:pStyle w:val="ListParagraph"/>
        <w:numPr>
          <w:ilvl w:val="0"/>
          <w:numId w:val="18"/>
        </w:numPr>
        <w:rPr>
          <w:rFonts w:ascii="Century Gothic" w:hAnsi="Century Gothic"/>
          <w:b/>
          <w:bCs/>
          <w:i/>
          <w:iCs/>
          <w:sz w:val="18"/>
          <w:szCs w:val="18"/>
        </w:rPr>
      </w:pPr>
      <w:r>
        <w:rPr>
          <w:rFonts w:ascii="Century Gothic" w:hAnsi="Century Gothic"/>
          <w:b/>
          <w:bCs/>
          <w:i/>
          <w:iCs/>
          <w:sz w:val="18"/>
          <w:szCs w:val="18"/>
        </w:rPr>
        <w:t>Riley v. CA</w:t>
      </w:r>
    </w:p>
    <w:p w14:paraId="0D1BEDEB" w14:textId="00479F1A" w:rsidR="00885BD4" w:rsidRDefault="00885BD4" w:rsidP="00885BD4">
      <w:pPr>
        <w:pStyle w:val="ListParagraph"/>
        <w:numPr>
          <w:ilvl w:val="0"/>
          <w:numId w:val="18"/>
        </w:numPr>
        <w:rPr>
          <w:rFonts w:ascii="Century Gothic" w:hAnsi="Century Gothic"/>
          <w:b/>
          <w:bCs/>
          <w:i/>
          <w:iCs/>
          <w:sz w:val="18"/>
          <w:szCs w:val="18"/>
        </w:rPr>
      </w:pPr>
      <w:r>
        <w:rPr>
          <w:rFonts w:ascii="Century Gothic" w:hAnsi="Century Gothic"/>
          <w:b/>
          <w:bCs/>
          <w:i/>
          <w:iCs/>
          <w:sz w:val="18"/>
          <w:szCs w:val="18"/>
        </w:rPr>
        <w:t>Boyd v. US</w:t>
      </w:r>
    </w:p>
    <w:p w14:paraId="56AF5939" w14:textId="50D7F458" w:rsidR="00885BD4" w:rsidRDefault="00885BD4" w:rsidP="00885BD4">
      <w:pPr>
        <w:pStyle w:val="ListParagraph"/>
        <w:numPr>
          <w:ilvl w:val="0"/>
          <w:numId w:val="18"/>
        </w:numPr>
        <w:pBdr>
          <w:bottom w:val="single" w:sz="12" w:space="1" w:color="auto"/>
        </w:pBdr>
        <w:rPr>
          <w:rFonts w:ascii="Century Gothic" w:hAnsi="Century Gothic"/>
          <w:b/>
          <w:bCs/>
          <w:i/>
          <w:iCs/>
          <w:sz w:val="18"/>
          <w:szCs w:val="18"/>
        </w:rPr>
      </w:pPr>
      <w:r>
        <w:rPr>
          <w:rFonts w:ascii="Century Gothic" w:hAnsi="Century Gothic"/>
          <w:b/>
          <w:bCs/>
          <w:i/>
          <w:iCs/>
          <w:sz w:val="18"/>
          <w:szCs w:val="18"/>
        </w:rPr>
        <w:t xml:space="preserve">Entick v. </w:t>
      </w:r>
      <w:proofErr w:type="spellStart"/>
      <w:r>
        <w:rPr>
          <w:rFonts w:ascii="Century Gothic" w:hAnsi="Century Gothic"/>
          <w:b/>
          <w:bCs/>
          <w:i/>
          <w:iCs/>
          <w:sz w:val="18"/>
          <w:szCs w:val="18"/>
        </w:rPr>
        <w:t>Carington</w:t>
      </w:r>
      <w:proofErr w:type="spellEnd"/>
    </w:p>
    <w:p w14:paraId="07C5A7BE" w14:textId="4CDBAB02" w:rsidR="00885BD4" w:rsidRPr="00885BD4" w:rsidRDefault="00885BD4" w:rsidP="00885BD4">
      <w:pPr>
        <w:pBdr>
          <w:bottom w:val="single" w:sz="12" w:space="1" w:color="auto"/>
        </w:pBdr>
        <w:ind w:left="360"/>
        <w:rPr>
          <w:rFonts w:ascii="Century Gothic" w:hAnsi="Century Gothic"/>
          <w:b/>
          <w:bCs/>
          <w:i/>
          <w:iCs/>
          <w:sz w:val="18"/>
          <w:szCs w:val="18"/>
        </w:rPr>
      </w:pPr>
      <w:r w:rsidRPr="00885BD4">
        <w:rPr>
          <w:rFonts w:ascii="Century Gothic" w:hAnsi="Century Gothic"/>
          <w:b/>
          <w:bCs/>
          <w:i/>
          <w:iCs/>
          <w:sz w:val="18"/>
          <w:szCs w:val="18"/>
        </w:rPr>
        <w:br/>
      </w:r>
    </w:p>
    <w:p w14:paraId="48391498" w14:textId="77777777" w:rsidR="00885BD4" w:rsidRPr="00885BD4" w:rsidRDefault="00885BD4" w:rsidP="00885BD4">
      <w:pPr>
        <w:rPr>
          <w:rFonts w:ascii="Century Gothic" w:hAnsi="Century Gothic"/>
          <w:b/>
          <w:bCs/>
          <w:i/>
          <w:iCs/>
          <w:sz w:val="18"/>
          <w:szCs w:val="18"/>
        </w:rPr>
      </w:pPr>
    </w:p>
    <w:p w14:paraId="744CEE97" w14:textId="75F3C49A" w:rsidR="004303A3" w:rsidRPr="00C56359" w:rsidRDefault="00BE3FB3">
      <w:pPr>
        <w:rPr>
          <w:rFonts w:ascii="Century Gothic" w:hAnsi="Century Gothic"/>
          <w:b/>
          <w:bCs/>
          <w:sz w:val="22"/>
          <w:szCs w:val="22"/>
          <w:u w:val="single"/>
        </w:rPr>
      </w:pPr>
      <w:r w:rsidRPr="00C56359">
        <w:rPr>
          <w:rFonts w:ascii="Century Gothic" w:hAnsi="Century Gothic"/>
          <w:b/>
          <w:bCs/>
          <w:sz w:val="22"/>
          <w:szCs w:val="22"/>
          <w:u w:val="single"/>
        </w:rPr>
        <w:lastRenderedPageBreak/>
        <w:t xml:space="preserve">Comments from Justice Jack Landau: </w:t>
      </w:r>
    </w:p>
    <w:p w14:paraId="2E906C76" w14:textId="509F5A7F" w:rsidR="00DE32B7" w:rsidRPr="00885BD4" w:rsidRDefault="00DE32B7" w:rsidP="00DE32B7">
      <w:pPr>
        <w:outlineLvl w:val="0"/>
        <w:rPr>
          <w:rFonts w:ascii="Garamond" w:hAnsi="Garamond"/>
          <w:i/>
          <w:color w:val="000000" w:themeColor="text1"/>
          <w:sz w:val="22"/>
          <w:szCs w:val="22"/>
        </w:rPr>
      </w:pPr>
    </w:p>
    <w:p w14:paraId="19FBF8A2" w14:textId="77777777" w:rsidR="00885BD4" w:rsidRPr="00885BD4" w:rsidRDefault="00885BD4" w:rsidP="00885BD4">
      <w:pPr>
        <w:rPr>
          <w:rFonts w:ascii="Garamond" w:hAnsi="Garamond"/>
          <w:i/>
          <w:color w:val="000000" w:themeColor="text1"/>
          <w:sz w:val="22"/>
          <w:szCs w:val="22"/>
        </w:rPr>
      </w:pPr>
      <w:r w:rsidRPr="00885BD4">
        <w:rPr>
          <w:rFonts w:ascii="Garamond" w:hAnsi="Garamond"/>
          <w:i/>
          <w:color w:val="000000" w:themeColor="text1"/>
          <w:sz w:val="22"/>
          <w:szCs w:val="22"/>
        </w:rPr>
        <w:t xml:space="preserve">The Fifth Amendment right against self-incrimination was based on then-existing state constitutional rights, such as the Virginia constitutional declaration that no man can be "compelled to give evidence against himself."  The deeper historical origins are a matter of controversy.  </w:t>
      </w:r>
    </w:p>
    <w:p w14:paraId="727E21AF" w14:textId="77777777" w:rsidR="00885BD4" w:rsidRPr="00885BD4" w:rsidRDefault="00885BD4" w:rsidP="00885BD4">
      <w:pPr>
        <w:rPr>
          <w:rFonts w:ascii="Garamond" w:hAnsi="Garamond"/>
          <w:i/>
          <w:color w:val="000000" w:themeColor="text1"/>
          <w:sz w:val="22"/>
          <w:szCs w:val="22"/>
        </w:rPr>
      </w:pPr>
    </w:p>
    <w:p w14:paraId="6BDF37AC" w14:textId="77777777" w:rsidR="00885BD4" w:rsidRPr="00885BD4" w:rsidRDefault="00885BD4" w:rsidP="00885BD4">
      <w:pPr>
        <w:rPr>
          <w:rFonts w:ascii="Garamond" w:hAnsi="Garamond"/>
          <w:i/>
          <w:color w:val="000000" w:themeColor="text1"/>
          <w:sz w:val="22"/>
          <w:szCs w:val="22"/>
        </w:rPr>
      </w:pPr>
      <w:r w:rsidRPr="00885BD4">
        <w:rPr>
          <w:rFonts w:ascii="Garamond" w:hAnsi="Garamond"/>
          <w:i/>
          <w:color w:val="000000" w:themeColor="text1"/>
          <w:sz w:val="22"/>
          <w:szCs w:val="22"/>
        </w:rPr>
        <w:t xml:space="preserve">The conventional view, originally proposed by John </w:t>
      </w:r>
      <w:proofErr w:type="spellStart"/>
      <w:r w:rsidRPr="00885BD4">
        <w:rPr>
          <w:rFonts w:ascii="Garamond" w:hAnsi="Garamond"/>
          <w:i/>
          <w:color w:val="000000" w:themeColor="text1"/>
          <w:sz w:val="22"/>
          <w:szCs w:val="22"/>
        </w:rPr>
        <w:t>Wigmore</w:t>
      </w:r>
      <w:proofErr w:type="spellEnd"/>
      <w:r w:rsidRPr="00885BD4">
        <w:rPr>
          <w:rFonts w:ascii="Garamond" w:hAnsi="Garamond"/>
          <w:i/>
          <w:color w:val="000000" w:themeColor="text1"/>
          <w:sz w:val="22"/>
          <w:szCs w:val="22"/>
        </w:rPr>
        <w:t xml:space="preserve"> and later developed by Leonard Levy, is that the right may be traced to sixteenth-century protestant objections to the oath </w:t>
      </w:r>
      <w:r w:rsidRPr="00885BD4">
        <w:rPr>
          <w:rFonts w:ascii="Garamond" w:hAnsi="Garamond"/>
          <w:color w:val="000000" w:themeColor="text1"/>
          <w:sz w:val="22"/>
          <w:szCs w:val="22"/>
        </w:rPr>
        <w:t>ex officio</w:t>
      </w:r>
      <w:r w:rsidRPr="00885BD4">
        <w:rPr>
          <w:rFonts w:ascii="Garamond" w:hAnsi="Garamond"/>
          <w:i/>
          <w:color w:val="000000" w:themeColor="text1"/>
          <w:sz w:val="22"/>
          <w:szCs w:val="22"/>
        </w:rPr>
        <w:t xml:space="preserve"> -- the requirement of the Star Chamber that suspects swear in advance to answer truthfully questions about their religious and political beliefs.  The practice forced the suspects either to lie under oath (and thereby risk eternal damnation) or refuse to take the oath (and risk corporal punishment) or take the oath and answer truthfully (and risk corporal punishment).  Puritans, in particular, objected to the oath requirement.  In 1641, Parliament agreed and abolished the court of Star Chamber.  Other scholars, more recently, argue that the right wasn't actually recognized</w:t>
      </w:r>
      <w:bookmarkStart w:id="0" w:name="_GoBack"/>
      <w:bookmarkEnd w:id="0"/>
      <w:r w:rsidRPr="00885BD4">
        <w:rPr>
          <w:rFonts w:ascii="Garamond" w:hAnsi="Garamond"/>
          <w:i/>
          <w:color w:val="000000" w:themeColor="text1"/>
          <w:sz w:val="22"/>
          <w:szCs w:val="22"/>
        </w:rPr>
        <w:t xml:space="preserve"> until the late 1700s, when criminal defendants could be represented by counsel (before then, defendants were required to represent themselves, which more or less required self-incrimination).  Even after the ratification of the Fifth Amendment, these scholars point out, courts didn't invoke the right against self-incrimination.  Magistrates routinely questioned an accused, and if the accused stood mute, that refusal was reported to the jury.  It wasn't until the early 20th century that the right against self-incrimination as </w:t>
      </w:r>
      <w:proofErr w:type="gramStart"/>
      <w:r w:rsidRPr="00885BD4">
        <w:rPr>
          <w:rFonts w:ascii="Garamond" w:hAnsi="Garamond"/>
          <w:i/>
          <w:color w:val="000000" w:themeColor="text1"/>
          <w:sz w:val="22"/>
          <w:szCs w:val="22"/>
        </w:rPr>
        <w:t>we  now</w:t>
      </w:r>
      <w:proofErr w:type="gramEnd"/>
      <w:r w:rsidRPr="00885BD4">
        <w:rPr>
          <w:rFonts w:ascii="Garamond" w:hAnsi="Garamond"/>
          <w:i/>
          <w:color w:val="000000" w:themeColor="text1"/>
          <w:sz w:val="22"/>
          <w:szCs w:val="22"/>
        </w:rPr>
        <w:t xml:space="preserve"> know it came into being, in response to police coercion.  For a history of the right against self-incrimination (and a summary of competing views) see generally, State v. Davis (Or. 2011).  </w:t>
      </w:r>
    </w:p>
    <w:p w14:paraId="6D67C07C" w14:textId="77777777" w:rsidR="00885BD4" w:rsidRPr="00885BD4" w:rsidRDefault="00885BD4" w:rsidP="00885BD4">
      <w:pPr>
        <w:rPr>
          <w:rFonts w:ascii="Garamond" w:hAnsi="Garamond"/>
          <w:i/>
          <w:color w:val="000000" w:themeColor="text1"/>
          <w:sz w:val="22"/>
          <w:szCs w:val="22"/>
        </w:rPr>
      </w:pPr>
    </w:p>
    <w:p w14:paraId="405050C1" w14:textId="77777777" w:rsidR="00885BD4" w:rsidRPr="00885BD4" w:rsidRDefault="00885BD4" w:rsidP="00885BD4">
      <w:pPr>
        <w:rPr>
          <w:rFonts w:ascii="Garamond" w:hAnsi="Garamond"/>
          <w:i/>
          <w:color w:val="000000" w:themeColor="text1"/>
          <w:sz w:val="22"/>
          <w:szCs w:val="22"/>
        </w:rPr>
      </w:pPr>
      <w:r w:rsidRPr="00885BD4">
        <w:rPr>
          <w:rFonts w:ascii="Garamond" w:hAnsi="Garamond"/>
          <w:i/>
          <w:color w:val="000000" w:themeColor="text1"/>
          <w:sz w:val="22"/>
          <w:szCs w:val="22"/>
        </w:rPr>
        <w:t xml:space="preserve">Amar's critique of Fifth Amendment jurisprudence is largely focused on the fact that US Supreme Court decisions make little sense (shocking news!) and the fact that there is no agreement about the historical origins of the right.  He suggests that the amendment be read literally, so that it precludes a defendant only from being a "witness" in the ordinary sense (taking the stand) in his own "criminal case" (that is, the trial).  </w:t>
      </w:r>
    </w:p>
    <w:p w14:paraId="6436D1C1" w14:textId="77777777" w:rsidR="00885BD4" w:rsidRPr="00885BD4" w:rsidRDefault="00885BD4" w:rsidP="00885BD4">
      <w:pPr>
        <w:rPr>
          <w:rFonts w:ascii="Garamond" w:hAnsi="Garamond"/>
          <w:i/>
          <w:color w:val="000000" w:themeColor="text1"/>
          <w:sz w:val="22"/>
          <w:szCs w:val="22"/>
        </w:rPr>
      </w:pPr>
    </w:p>
    <w:p w14:paraId="2619CA8E" w14:textId="77777777" w:rsidR="00885BD4" w:rsidRPr="00885BD4" w:rsidRDefault="00885BD4" w:rsidP="00885BD4">
      <w:pPr>
        <w:rPr>
          <w:rFonts w:ascii="Garamond" w:hAnsi="Garamond"/>
          <w:sz w:val="22"/>
          <w:szCs w:val="22"/>
        </w:rPr>
      </w:pPr>
      <w:proofErr w:type="spellStart"/>
      <w:r w:rsidRPr="00885BD4">
        <w:rPr>
          <w:rFonts w:ascii="Garamond" w:hAnsi="Garamond"/>
          <w:i/>
          <w:color w:val="000000" w:themeColor="text1"/>
          <w:sz w:val="22"/>
          <w:szCs w:val="22"/>
        </w:rPr>
        <w:t>Seo</w:t>
      </w:r>
      <w:proofErr w:type="spellEnd"/>
      <w:r w:rsidRPr="00885BD4">
        <w:rPr>
          <w:rFonts w:ascii="Garamond" w:hAnsi="Garamond"/>
          <w:i/>
          <w:color w:val="000000" w:themeColor="text1"/>
          <w:sz w:val="22"/>
          <w:szCs w:val="22"/>
        </w:rPr>
        <w:t xml:space="preserve"> v. Indiana is still pending before the Indiana Supreme Court.  The police had seized her iPhone at the time of arrest.  She was asked to unlock the phone, but she refused.  The police went to court, which ordered her to comply.  When she refused, the court held her in contempt.  She appealed.  The Indiana Court of Appeals, </w:t>
      </w:r>
      <w:proofErr w:type="spellStart"/>
      <w:r w:rsidRPr="00885BD4">
        <w:rPr>
          <w:rFonts w:ascii="Garamond" w:hAnsi="Garamond"/>
          <w:i/>
          <w:color w:val="000000" w:themeColor="text1"/>
          <w:sz w:val="22"/>
          <w:szCs w:val="22"/>
        </w:rPr>
        <w:t>Seo</w:t>
      </w:r>
      <w:proofErr w:type="spellEnd"/>
      <w:r w:rsidRPr="00885BD4">
        <w:rPr>
          <w:rFonts w:ascii="Garamond" w:hAnsi="Garamond"/>
          <w:i/>
          <w:color w:val="000000" w:themeColor="text1"/>
          <w:sz w:val="22"/>
          <w:szCs w:val="22"/>
        </w:rPr>
        <w:t xml:space="preserve"> v. State, 109 NE3d 418 (2018), </w:t>
      </w:r>
      <w:hyperlink r:id="rId5" w:history="1">
        <w:r w:rsidRPr="00885BD4">
          <w:rPr>
            <w:rStyle w:val="Hyperlink"/>
            <w:rFonts w:ascii="Garamond" w:hAnsi="Garamond"/>
            <w:sz w:val="22"/>
            <w:szCs w:val="22"/>
          </w:rPr>
          <w:t>https://www.leagle.com/decision/ininco20180821261</w:t>
        </w:r>
      </w:hyperlink>
      <w:r w:rsidRPr="00885BD4">
        <w:rPr>
          <w:rFonts w:ascii="Garamond" w:hAnsi="Garamond"/>
          <w:sz w:val="22"/>
          <w:szCs w:val="22"/>
        </w:rPr>
        <w:t xml:space="preserve"> </w:t>
      </w:r>
    </w:p>
    <w:p w14:paraId="72B89522" w14:textId="77777777" w:rsidR="00885BD4" w:rsidRDefault="00885BD4" w:rsidP="00885BD4">
      <w:pPr>
        <w:rPr>
          <w:rFonts w:ascii="Garamond" w:hAnsi="Garamond"/>
          <w:i/>
          <w:color w:val="000000" w:themeColor="text1"/>
          <w:sz w:val="22"/>
          <w:szCs w:val="22"/>
        </w:rPr>
      </w:pPr>
      <w:r w:rsidRPr="00885BD4">
        <w:rPr>
          <w:rFonts w:ascii="Garamond" w:hAnsi="Garamond"/>
          <w:i/>
          <w:color w:val="000000" w:themeColor="text1"/>
          <w:sz w:val="22"/>
          <w:szCs w:val="22"/>
        </w:rPr>
        <w:t xml:space="preserve"> vacated the order of contempt.  </w:t>
      </w:r>
    </w:p>
    <w:p w14:paraId="210832CE" w14:textId="77777777" w:rsidR="00885BD4" w:rsidRDefault="00885BD4" w:rsidP="00885BD4">
      <w:pPr>
        <w:rPr>
          <w:rFonts w:ascii="Garamond" w:hAnsi="Garamond"/>
          <w:i/>
          <w:color w:val="000000" w:themeColor="text1"/>
          <w:sz w:val="22"/>
          <w:szCs w:val="22"/>
        </w:rPr>
      </w:pPr>
    </w:p>
    <w:p w14:paraId="467C8393" w14:textId="2E3E246D" w:rsidR="00885BD4" w:rsidRPr="00885BD4" w:rsidRDefault="00885BD4" w:rsidP="00885BD4">
      <w:pPr>
        <w:rPr>
          <w:rFonts w:ascii="Garamond" w:hAnsi="Garamond"/>
          <w:i/>
          <w:color w:val="000000" w:themeColor="text1"/>
          <w:sz w:val="22"/>
          <w:szCs w:val="22"/>
        </w:rPr>
      </w:pPr>
      <w:r w:rsidRPr="00885BD4">
        <w:rPr>
          <w:rFonts w:ascii="Garamond" w:hAnsi="Garamond"/>
          <w:i/>
          <w:color w:val="000000" w:themeColor="text1"/>
          <w:sz w:val="22"/>
          <w:szCs w:val="22"/>
        </w:rPr>
        <w:t>The somewhat lengthy opinion -- with a nice summary of the relevant US S Ct case law -- is worth reading.  In a nutshell, it holds that an iPhone passcode is testimonial in nature, particularly given the extraordinary amount of information that a smart phone contains.  The opinion is also notable for the thoughtful dissent.  At bottom, the court split over an issue of analogies:  Is an encrypted telephone like a locked wall safe?</w:t>
      </w:r>
    </w:p>
    <w:p w14:paraId="2726A181" w14:textId="14B7244F" w:rsidR="00FA0D81" w:rsidRPr="00885BD4" w:rsidRDefault="00FA0D81" w:rsidP="00DE32B7">
      <w:pPr>
        <w:outlineLvl w:val="0"/>
        <w:rPr>
          <w:rFonts w:ascii="Garamond" w:hAnsi="Garamond"/>
          <w:i/>
          <w:color w:val="000000" w:themeColor="text1"/>
          <w:sz w:val="22"/>
          <w:szCs w:val="22"/>
        </w:rPr>
      </w:pPr>
    </w:p>
    <w:p w14:paraId="50F8B9AC" w14:textId="70F7E68E" w:rsidR="00885BD4" w:rsidRPr="00885BD4" w:rsidRDefault="00885BD4" w:rsidP="00DE32B7">
      <w:pPr>
        <w:outlineLvl w:val="0"/>
        <w:rPr>
          <w:rFonts w:ascii="Garamond" w:hAnsi="Garamond"/>
          <w:i/>
          <w:color w:val="000000" w:themeColor="text1"/>
          <w:sz w:val="22"/>
          <w:szCs w:val="22"/>
        </w:rPr>
      </w:pPr>
    </w:p>
    <w:p w14:paraId="7154C514" w14:textId="5C1974E5" w:rsidR="00885BD4" w:rsidRPr="00885BD4" w:rsidRDefault="00885BD4" w:rsidP="00DE32B7">
      <w:pPr>
        <w:outlineLvl w:val="0"/>
        <w:rPr>
          <w:rFonts w:ascii="Garamond" w:hAnsi="Garamond"/>
          <w:i/>
          <w:color w:val="000000" w:themeColor="text1"/>
          <w:sz w:val="22"/>
          <w:szCs w:val="22"/>
        </w:rPr>
      </w:pPr>
    </w:p>
    <w:p w14:paraId="57A64CEE" w14:textId="21E23B34" w:rsidR="00885BD4" w:rsidRPr="00885BD4" w:rsidRDefault="00885BD4" w:rsidP="00DE32B7">
      <w:pPr>
        <w:outlineLvl w:val="0"/>
        <w:rPr>
          <w:rFonts w:ascii="Garamond" w:hAnsi="Garamond"/>
          <w:i/>
          <w:color w:val="000000" w:themeColor="text1"/>
          <w:sz w:val="22"/>
          <w:szCs w:val="22"/>
        </w:rPr>
      </w:pPr>
    </w:p>
    <w:p w14:paraId="7F05ED37" w14:textId="216A4115" w:rsidR="00885BD4" w:rsidRPr="00885BD4" w:rsidRDefault="00885BD4" w:rsidP="00DE32B7">
      <w:pPr>
        <w:outlineLvl w:val="0"/>
        <w:rPr>
          <w:rFonts w:ascii="Garamond" w:hAnsi="Garamond"/>
          <w:i/>
          <w:color w:val="000000" w:themeColor="text1"/>
          <w:sz w:val="22"/>
          <w:szCs w:val="22"/>
        </w:rPr>
      </w:pPr>
    </w:p>
    <w:p w14:paraId="044F7DE7" w14:textId="789DAE07" w:rsidR="00885BD4" w:rsidRPr="00885BD4" w:rsidRDefault="00885BD4" w:rsidP="00DE32B7">
      <w:pPr>
        <w:outlineLvl w:val="0"/>
        <w:rPr>
          <w:rFonts w:ascii="Garamond" w:hAnsi="Garamond"/>
          <w:i/>
          <w:color w:val="000000" w:themeColor="text1"/>
          <w:sz w:val="22"/>
          <w:szCs w:val="22"/>
        </w:rPr>
      </w:pPr>
    </w:p>
    <w:p w14:paraId="542A3BB3" w14:textId="7341374A" w:rsidR="00885BD4" w:rsidRPr="00885BD4" w:rsidRDefault="00885BD4" w:rsidP="00DE32B7">
      <w:pPr>
        <w:outlineLvl w:val="0"/>
        <w:rPr>
          <w:rFonts w:ascii="Garamond" w:hAnsi="Garamond"/>
          <w:i/>
          <w:color w:val="000000" w:themeColor="text1"/>
          <w:sz w:val="22"/>
          <w:szCs w:val="22"/>
        </w:rPr>
      </w:pPr>
    </w:p>
    <w:p w14:paraId="27F2F5FD" w14:textId="2ED3B82A" w:rsidR="00885BD4" w:rsidRPr="00885BD4" w:rsidRDefault="00885BD4" w:rsidP="00DE32B7">
      <w:pPr>
        <w:outlineLvl w:val="0"/>
        <w:rPr>
          <w:rFonts w:ascii="Garamond" w:hAnsi="Garamond"/>
          <w:i/>
          <w:color w:val="000000" w:themeColor="text1"/>
          <w:sz w:val="22"/>
          <w:szCs w:val="22"/>
        </w:rPr>
      </w:pPr>
    </w:p>
    <w:p w14:paraId="0B4CE127" w14:textId="1F6649FF" w:rsidR="00885BD4" w:rsidRDefault="00885BD4" w:rsidP="00DE32B7">
      <w:pPr>
        <w:outlineLvl w:val="0"/>
        <w:rPr>
          <w:rFonts w:ascii="Garamond" w:hAnsi="Garamond"/>
          <w:i/>
          <w:color w:val="000000" w:themeColor="text1"/>
          <w:sz w:val="22"/>
          <w:szCs w:val="22"/>
        </w:rPr>
      </w:pPr>
    </w:p>
    <w:p w14:paraId="32317149" w14:textId="2DD3D975" w:rsidR="00885BD4" w:rsidRDefault="00885BD4" w:rsidP="00DE32B7">
      <w:pPr>
        <w:outlineLvl w:val="0"/>
        <w:rPr>
          <w:rFonts w:ascii="Garamond" w:hAnsi="Garamond"/>
          <w:i/>
          <w:color w:val="000000" w:themeColor="text1"/>
          <w:sz w:val="22"/>
          <w:szCs w:val="22"/>
        </w:rPr>
      </w:pPr>
    </w:p>
    <w:p w14:paraId="334A3279" w14:textId="407F250C" w:rsidR="00885BD4" w:rsidRDefault="00885BD4" w:rsidP="00DE32B7">
      <w:pPr>
        <w:outlineLvl w:val="0"/>
        <w:rPr>
          <w:rFonts w:ascii="Garamond" w:hAnsi="Garamond"/>
          <w:i/>
          <w:color w:val="000000" w:themeColor="text1"/>
          <w:sz w:val="22"/>
          <w:szCs w:val="22"/>
        </w:rPr>
      </w:pPr>
    </w:p>
    <w:p w14:paraId="68BD1613" w14:textId="3904B324" w:rsidR="00885BD4" w:rsidRDefault="00885BD4" w:rsidP="00DE32B7">
      <w:pPr>
        <w:outlineLvl w:val="0"/>
        <w:rPr>
          <w:rFonts w:ascii="Garamond" w:hAnsi="Garamond"/>
          <w:i/>
          <w:color w:val="000000" w:themeColor="text1"/>
          <w:sz w:val="22"/>
          <w:szCs w:val="22"/>
        </w:rPr>
      </w:pPr>
    </w:p>
    <w:p w14:paraId="04593690" w14:textId="6D8ED48D" w:rsidR="00885BD4" w:rsidRDefault="00885BD4" w:rsidP="00DE32B7">
      <w:pPr>
        <w:outlineLvl w:val="0"/>
        <w:rPr>
          <w:rFonts w:ascii="Garamond" w:hAnsi="Garamond"/>
          <w:i/>
          <w:color w:val="000000" w:themeColor="text1"/>
          <w:sz w:val="22"/>
          <w:szCs w:val="22"/>
        </w:rPr>
      </w:pPr>
    </w:p>
    <w:p w14:paraId="1B7D25CD" w14:textId="2B1FF7A0" w:rsidR="00885BD4" w:rsidRDefault="00885BD4" w:rsidP="00DE32B7">
      <w:pPr>
        <w:outlineLvl w:val="0"/>
        <w:rPr>
          <w:rFonts w:ascii="Garamond" w:hAnsi="Garamond"/>
          <w:i/>
          <w:color w:val="000000" w:themeColor="text1"/>
          <w:sz w:val="22"/>
          <w:szCs w:val="22"/>
        </w:rPr>
      </w:pPr>
    </w:p>
    <w:p w14:paraId="046B79EA" w14:textId="2A30AFBF" w:rsidR="00885BD4" w:rsidRDefault="00885BD4" w:rsidP="00DE32B7">
      <w:pPr>
        <w:outlineLvl w:val="0"/>
        <w:rPr>
          <w:rFonts w:ascii="Garamond" w:hAnsi="Garamond"/>
          <w:i/>
          <w:color w:val="000000" w:themeColor="text1"/>
          <w:sz w:val="22"/>
          <w:szCs w:val="22"/>
        </w:rPr>
      </w:pPr>
    </w:p>
    <w:p w14:paraId="28D2EC88" w14:textId="3EC8F573" w:rsidR="00885BD4" w:rsidRDefault="00885BD4" w:rsidP="00DE32B7">
      <w:pPr>
        <w:outlineLvl w:val="0"/>
        <w:rPr>
          <w:rFonts w:ascii="Garamond" w:hAnsi="Garamond"/>
          <w:i/>
          <w:color w:val="000000" w:themeColor="text1"/>
          <w:sz w:val="22"/>
          <w:szCs w:val="22"/>
        </w:rPr>
      </w:pPr>
    </w:p>
    <w:p w14:paraId="3E7D00AA" w14:textId="5C8F42F6" w:rsidR="00885BD4" w:rsidRDefault="00885BD4" w:rsidP="00DE32B7">
      <w:pPr>
        <w:outlineLvl w:val="0"/>
        <w:rPr>
          <w:rFonts w:ascii="Garamond" w:hAnsi="Garamond"/>
          <w:i/>
          <w:color w:val="000000" w:themeColor="text1"/>
          <w:sz w:val="22"/>
          <w:szCs w:val="22"/>
        </w:rPr>
      </w:pPr>
    </w:p>
    <w:p w14:paraId="7F08C2F6" w14:textId="0E2C5147" w:rsidR="00885BD4" w:rsidRDefault="00885BD4" w:rsidP="00DE32B7">
      <w:pPr>
        <w:outlineLvl w:val="0"/>
        <w:rPr>
          <w:rFonts w:ascii="Garamond" w:hAnsi="Garamond"/>
          <w:i/>
          <w:color w:val="000000" w:themeColor="text1"/>
          <w:sz w:val="22"/>
          <w:szCs w:val="22"/>
        </w:rPr>
      </w:pPr>
    </w:p>
    <w:p w14:paraId="5536D8A6" w14:textId="34223990" w:rsidR="00885BD4" w:rsidRDefault="00885BD4" w:rsidP="00DE32B7">
      <w:pPr>
        <w:outlineLvl w:val="0"/>
        <w:rPr>
          <w:rFonts w:ascii="Garamond" w:hAnsi="Garamond"/>
          <w:i/>
          <w:color w:val="000000" w:themeColor="text1"/>
          <w:sz w:val="22"/>
          <w:szCs w:val="22"/>
        </w:rPr>
      </w:pPr>
    </w:p>
    <w:p w14:paraId="20071A50" w14:textId="77777777" w:rsidR="00885BD4" w:rsidRPr="00FA0D81" w:rsidRDefault="00885BD4" w:rsidP="00DE32B7">
      <w:pPr>
        <w:outlineLvl w:val="0"/>
        <w:rPr>
          <w:rFonts w:ascii="Garamond" w:hAnsi="Garamond"/>
          <w:i/>
          <w:color w:val="000000" w:themeColor="text1"/>
          <w:sz w:val="22"/>
          <w:szCs w:val="22"/>
        </w:rPr>
      </w:pPr>
    </w:p>
    <w:p w14:paraId="19BF07EA" w14:textId="77777777" w:rsidR="00FA0D81" w:rsidRPr="00FA0D81" w:rsidRDefault="00FA0D81" w:rsidP="00DE32B7">
      <w:pPr>
        <w:outlineLvl w:val="0"/>
        <w:rPr>
          <w:rFonts w:ascii="Garamond" w:hAnsi="Garamond"/>
          <w:i/>
          <w:color w:val="000000" w:themeColor="text1"/>
          <w:sz w:val="22"/>
          <w:szCs w:val="22"/>
        </w:rPr>
      </w:pPr>
    </w:p>
    <w:sectPr w:rsidR="00FA0D81" w:rsidRPr="00FA0D81" w:rsidSect="001A3920">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B6DA7"/>
    <w:multiLevelType w:val="hybridMultilevel"/>
    <w:tmpl w:val="BB44A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BA3856"/>
    <w:multiLevelType w:val="hybridMultilevel"/>
    <w:tmpl w:val="E974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B60F98"/>
    <w:multiLevelType w:val="hybridMultilevel"/>
    <w:tmpl w:val="F93E84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2166B"/>
    <w:multiLevelType w:val="hybridMultilevel"/>
    <w:tmpl w:val="252C8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B81576"/>
    <w:multiLevelType w:val="hybridMultilevel"/>
    <w:tmpl w:val="D17C106C"/>
    <w:lvl w:ilvl="0" w:tplc="72B0536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5814FB"/>
    <w:multiLevelType w:val="multilevel"/>
    <w:tmpl w:val="649417F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 w15:restartNumberingAfterBreak="0">
    <w:nsid w:val="2F022AD1"/>
    <w:multiLevelType w:val="hybridMultilevel"/>
    <w:tmpl w:val="A6DA9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37DA8"/>
    <w:multiLevelType w:val="hybridMultilevel"/>
    <w:tmpl w:val="F08E0E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CA194D"/>
    <w:multiLevelType w:val="multilevel"/>
    <w:tmpl w:val="6318E86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924964"/>
    <w:multiLevelType w:val="hybridMultilevel"/>
    <w:tmpl w:val="BD260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47728A"/>
    <w:multiLevelType w:val="hybridMultilevel"/>
    <w:tmpl w:val="3A8C6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882751"/>
    <w:multiLevelType w:val="hybridMultilevel"/>
    <w:tmpl w:val="DDB2ABE2"/>
    <w:lvl w:ilvl="0" w:tplc="8904E7D4">
      <w:start w:val="1"/>
      <w:numFmt w:val="bullet"/>
      <w:lvlText w:val=""/>
      <w:lvlJc w:val="left"/>
      <w:pPr>
        <w:ind w:left="1080" w:hanging="360"/>
      </w:pPr>
      <w:rPr>
        <w:rFonts w:ascii="Symbol" w:hAnsi="Symbol" w:hint="default"/>
        <w:b/>
        <w:bCs/>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E23AA6"/>
    <w:multiLevelType w:val="hybridMultilevel"/>
    <w:tmpl w:val="1AB64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C1722C"/>
    <w:multiLevelType w:val="hybridMultilevel"/>
    <w:tmpl w:val="E8883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6F4DAE"/>
    <w:multiLevelType w:val="hybridMultilevel"/>
    <w:tmpl w:val="ADD2F6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FC0E94"/>
    <w:multiLevelType w:val="hybridMultilevel"/>
    <w:tmpl w:val="F46C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AC0D70"/>
    <w:multiLevelType w:val="hybridMultilevel"/>
    <w:tmpl w:val="BD782EB6"/>
    <w:lvl w:ilvl="0" w:tplc="4B78928A">
      <w:start w:val="1"/>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8936DDE"/>
    <w:multiLevelType w:val="hybridMultilevel"/>
    <w:tmpl w:val="644E5F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C03763"/>
    <w:multiLevelType w:val="hybridMultilevel"/>
    <w:tmpl w:val="A582DF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6"/>
  </w:num>
  <w:num w:numId="4">
    <w:abstractNumId w:val="2"/>
  </w:num>
  <w:num w:numId="5">
    <w:abstractNumId w:val="0"/>
  </w:num>
  <w:num w:numId="6">
    <w:abstractNumId w:val="5"/>
  </w:num>
  <w:num w:numId="7">
    <w:abstractNumId w:val="13"/>
  </w:num>
  <w:num w:numId="8">
    <w:abstractNumId w:val="15"/>
  </w:num>
  <w:num w:numId="9">
    <w:abstractNumId w:val="4"/>
  </w:num>
  <w:num w:numId="10">
    <w:abstractNumId w:val="9"/>
  </w:num>
  <w:num w:numId="11">
    <w:abstractNumId w:val="1"/>
  </w:num>
  <w:num w:numId="12">
    <w:abstractNumId w:val="12"/>
  </w:num>
  <w:num w:numId="13">
    <w:abstractNumId w:val="10"/>
  </w:num>
  <w:num w:numId="14">
    <w:abstractNumId w:val="8"/>
  </w:num>
  <w:num w:numId="15">
    <w:abstractNumId w:val="11"/>
  </w:num>
  <w:num w:numId="16">
    <w:abstractNumId w:val="18"/>
  </w:num>
  <w:num w:numId="17">
    <w:abstractNumId w:val="14"/>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A3"/>
    <w:rsid w:val="000C008B"/>
    <w:rsid w:val="000F5694"/>
    <w:rsid w:val="00136E2E"/>
    <w:rsid w:val="00152F3A"/>
    <w:rsid w:val="001A3920"/>
    <w:rsid w:val="002C07BA"/>
    <w:rsid w:val="002C6FD8"/>
    <w:rsid w:val="004303A3"/>
    <w:rsid w:val="004E0E3B"/>
    <w:rsid w:val="004F6717"/>
    <w:rsid w:val="0058402D"/>
    <w:rsid w:val="0069014D"/>
    <w:rsid w:val="0075635A"/>
    <w:rsid w:val="00885BD4"/>
    <w:rsid w:val="00AA24DF"/>
    <w:rsid w:val="00BD2B7F"/>
    <w:rsid w:val="00BE3FB3"/>
    <w:rsid w:val="00C56359"/>
    <w:rsid w:val="00DE32B7"/>
    <w:rsid w:val="00FA0D81"/>
    <w:rsid w:val="00FF0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D5A3"/>
  <w15:chartTrackingRefBased/>
  <w15:docId w15:val="{E8FF1994-E66E-FC4A-B63A-2F2BA0CE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FB3"/>
    <w:pPr>
      <w:spacing w:after="200" w:line="276" w:lineRule="auto"/>
      <w:ind w:left="720"/>
      <w:contextualSpacing/>
    </w:pPr>
    <w:rPr>
      <w:rFonts w:ascii="Calibri" w:eastAsia="Times New Roman" w:hAnsi="Calibri" w:cs="Times New Roman"/>
      <w:sz w:val="22"/>
      <w:szCs w:val="22"/>
    </w:rPr>
  </w:style>
  <w:style w:type="paragraph" w:customStyle="1" w:styleId="UnitHeader">
    <w:name w:val="Unit Header"/>
    <w:basedOn w:val="Normal"/>
    <w:qFormat/>
    <w:rsid w:val="00BE3FB3"/>
    <w:rPr>
      <w:rFonts w:ascii="Times New Roman" w:eastAsia="Times New Roman" w:hAnsi="Times New Roman" w:cs="Times New Roman"/>
      <w:b/>
      <w:sz w:val="26"/>
      <w:szCs w:val="28"/>
    </w:rPr>
  </w:style>
  <w:style w:type="paragraph" w:customStyle="1" w:styleId="Body">
    <w:name w:val="Body"/>
    <w:rsid w:val="00BE3FB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rsid w:val="002C6FD8"/>
    <w:rPr>
      <w:color w:val="0000FF"/>
      <w:u w:val="single"/>
    </w:rPr>
  </w:style>
  <w:style w:type="paragraph" w:styleId="NormalWeb">
    <w:name w:val="Normal (Web)"/>
    <w:basedOn w:val="Normal"/>
    <w:uiPriority w:val="99"/>
    <w:unhideWhenUsed/>
    <w:rsid w:val="000C008B"/>
    <w:pPr>
      <w:spacing w:before="100" w:beforeAutospacing="1" w:after="100" w:afterAutospacing="1"/>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agle.com/decision/ininco2018082126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Zall</dc:creator>
  <cp:keywords/>
  <dc:description/>
  <cp:lastModifiedBy>Cari Zall</cp:lastModifiedBy>
  <cp:revision>3</cp:revision>
  <dcterms:created xsi:type="dcterms:W3CDTF">2019-10-14T02:06:00Z</dcterms:created>
  <dcterms:modified xsi:type="dcterms:W3CDTF">2019-10-14T02:11:00Z</dcterms:modified>
</cp:coreProperties>
</file>